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8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8"/>
          <w:shd w:fill="auto" w:val="clear"/>
        </w:rPr>
        <w:t xml:space="preserve">Hollyland COSMO M7 Specs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Wireless</w:t>
      </w:r>
    </w:p>
    <w:tbl>
      <w:tblPr/>
      <w:tblGrid>
        <w:gridCol w:w="4250"/>
        <w:gridCol w:w="4250"/>
      </w:tblGrid>
      <w:tr>
        <w:trPr>
          <w:trHeight w:val="659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Wireless Range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600' / 200 m (Line-of-Sight)</w:t>
            </w:r>
          </w:p>
        </w:tc>
      </w:tr>
      <w:tr>
        <w:trPr>
          <w:trHeight w:val="659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Channel Bandwidth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40 MHz</w:t>
            </w:r>
          </w:p>
        </w:tc>
      </w:tr>
      <w:tr>
        <w:trPr>
          <w:trHeight w:val="659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Range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5 GHz</w:t>
            </w:r>
          </w:p>
        </w:tc>
      </w:tr>
      <w:tr>
        <w:trPr>
          <w:trHeight w:val="659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Latency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659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RF Power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-75 dBm</w:t>
            </w:r>
          </w:p>
        </w:tc>
      </w:tr>
      <w:tr>
        <w:trPr>
          <w:trHeight w:val="659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WHDI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Interfaces</w:t>
      </w:r>
    </w:p>
    <w:tbl>
      <w:tblPr/>
      <w:tblGrid>
        <w:gridCol w:w="4250"/>
        <w:gridCol w:w="4250"/>
      </w:tblGrid>
      <w:tr>
        <w:trPr>
          <w:trHeight w:val="90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Antenna Ports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</w:tr>
      <w:tr>
        <w:trPr>
          <w:trHeight w:val="646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Video Connectors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</w:tr>
      <w:tr>
        <w:trPr>
          <w:trHeight w:val="646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Other I/O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 x DC Input</w:t>
            </w:r>
          </w:p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 x USB Interface</w:t>
            </w:r>
          </w:p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 x 3.5mm Headphone Hole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Format Support</w:t>
      </w:r>
    </w:p>
    <w:tbl>
      <w:tblPr/>
      <w:tblGrid>
        <w:gridCol w:w="4250"/>
        <w:gridCol w:w="4250"/>
      </w:tblGrid>
      <w:tr>
        <w:trPr>
          <w:trHeight w:val="4230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Video Format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480p@60Hz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576p@50Hz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720p@60,50Hz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1080p@60,50Hz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1080p@23.98,24,25,29.97,30Hz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1080i@60,50Hz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1080Psf@23.98,24,25,29.97,30Hz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1080p60/59.94/50(Level A)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1080P60/59.94/50(Level B)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1080i60/59.94/50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4"/>
                <w:shd w:fill="auto" w:val="clear"/>
              </w:rPr>
              <w:t xml:space="preserve">1080p30/29.97/25/24/23.98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Display</w:t>
      </w:r>
    </w:p>
    <w:tbl>
      <w:tblPr/>
      <w:tblGrid>
        <w:gridCol w:w="4250"/>
        <w:gridCol w:w="4250"/>
      </w:tblGrid>
      <w:tr>
        <w:trPr>
          <w:trHeight w:val="63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Monitor Panel Type           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TFT-LCD</w:t>
            </w:r>
          </w:p>
        </w:tc>
      </w:tr>
      <w:tr>
        <w:trPr>
          <w:trHeight w:val="63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Diagonal Size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7.02</w:t>
            </w:r>
          </w:p>
        </w:tc>
      </w:tr>
      <w:tr>
        <w:trPr>
          <w:trHeight w:val="63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Resolution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1920*1200</w:t>
            </w:r>
          </w:p>
        </w:tc>
      </w:tr>
      <w:tr>
        <w:trPr>
          <w:trHeight w:val="63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Pixel Density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322</w:t>
            </w:r>
          </w:p>
        </w:tc>
      </w:tr>
      <w:tr>
        <w:trPr>
          <w:trHeight w:val="63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Aspect Ratio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16:10</w:t>
            </w:r>
          </w:p>
        </w:tc>
      </w:tr>
      <w:tr>
        <w:trPr>
          <w:trHeight w:val="63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Active Area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94.5(W) × 151.2(H) (mm)</w:t>
            </w:r>
          </w:p>
        </w:tc>
      </w:tr>
      <w:tr>
        <w:trPr>
          <w:trHeight w:val="63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Contrast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1100:1</w:t>
            </w:r>
          </w:p>
        </w:tc>
      </w:tr>
      <w:tr>
        <w:trPr>
          <w:trHeight w:val="63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Pixel Pitch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0.07875 (W) x 0.07875 (H) (mm)</w:t>
            </w:r>
          </w:p>
        </w:tc>
      </w:tr>
      <w:tr>
        <w:trPr>
          <w:trHeight w:val="63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Pixel arrangement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RGB Vertical stripe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Power</w:t>
      </w:r>
    </w:p>
    <w:tbl>
      <w:tblPr/>
      <w:tblGrid>
        <w:gridCol w:w="4250"/>
        <w:gridCol w:w="4250"/>
      </w:tblGrid>
      <w:tr>
        <w:trPr>
          <w:trHeight w:val="681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Battery Support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 x Barrel (7 to 36 VDC) Input</w:t>
            </w:r>
          </w:p>
        </w:tc>
      </w:tr>
      <w:tr>
        <w:trPr>
          <w:trHeight w:val="681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Power Connector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 x DC Input(2 pin LEMO female); </w:t>
            </w:r>
          </w:p>
        </w:tc>
      </w:tr>
      <w:tr>
        <w:trPr>
          <w:trHeight w:val="681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 Power Consumption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Device: (19 W)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General</w:t>
      </w:r>
    </w:p>
    <w:tbl>
      <w:tblPr/>
      <w:tblGrid>
        <w:gridCol w:w="4250"/>
        <w:gridCol w:w="4250"/>
      </w:tblGrid>
      <w:tr>
        <w:trPr>
          <w:trHeight w:val="65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Mounting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 x 1/4" Threaded Hole</w:t>
            </w:r>
          </w:p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2 x 1/4” Screw Hole</w:t>
            </w:r>
          </w:p>
        </w:tc>
      </w:tr>
      <w:tr>
        <w:trPr>
          <w:trHeight w:val="65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Metal, Plastic, Wood</w:t>
            </w:r>
          </w:p>
        </w:tc>
      </w:tr>
      <w:tr>
        <w:trPr>
          <w:trHeight w:val="65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Dimensions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7.6 x 4.7 x 0.94" / 19.2 x 12 x 2.4cm </w:t>
            </w:r>
          </w:p>
        </w:tc>
      </w:tr>
      <w:tr>
        <w:trPr>
          <w:trHeight w:val="658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Monitor Weight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1.65 lb / 750 g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Packaging Info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250"/>
        <w:gridCol w:w="4250"/>
      </w:tblGrid>
      <w:tr>
        <w:trPr>
          <w:trHeight w:val="644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Package Weight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8.04 lb</w:t>
            </w:r>
          </w:p>
        </w:tc>
      </w:tr>
      <w:tr>
        <w:trPr>
          <w:trHeight w:val="644" w:hRule="auto"/>
          <w:jc w:val="left"/>
        </w:trPr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Box Dimensions (LxWxH)</w:t>
            </w:r>
          </w:p>
        </w:tc>
        <w:tc>
          <w:tcPr>
            <w:tcW w:w="4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4"/>
                <w:shd w:fill="auto" w:val="clear"/>
              </w:rPr>
              <w:t xml:space="preserve">15.6 x 6.3 x 12.7"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Cosmo M7 Product Description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Overview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The product uses the latest wireless technology in the industry. It is widely used in mobile monitoring, mobile follow focus, etc. It has a zero-compression and zero-latency transmission range over 600ft wit a clean line of sight(LOS) when it connects with the COSMO 2000 transmitter. It supports up to 1080p 60HZ image resolution, and in the end achieves full HD HDMI video transmission.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Packing List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Wireless Monitor x 1;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Wooden Handle x 2;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User Manual x 1;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M3*8 Socket Head Cap Screw x 4;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D-Tap to Lemo Spring Cable x 1;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Neck Strap x 1;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Screen Hood x 1.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Key Features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7” High Brightness Touchscreen Wireless Monitor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1500 Nits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Support Focus Assist and Adjustable Intensity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Support Exposure Assistance 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Support Pseudo Color &amp; Zebra &amp;HDR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Support Waveform/Vector/Histogram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Support 3D LUT &amp; TC Code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178°Viewing Angle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～</w:t>
      </w: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36V DC Wide Voltage Input</w:t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Stable&amp; Reliable Industrial Metal Case with Wooden Handle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</w:pPr>
      <w:r>
        <w:rPr>
          <w:rFonts w:ascii="等线" w:hAnsi="等线" w:cs="等线" w:eastAsia="等线"/>
          <w:color w:val="auto"/>
          <w:spacing w:val="0"/>
          <w:position w:val="0"/>
          <w:sz w:val="24"/>
          <w:shd w:fill="auto" w:val="clear"/>
        </w:rPr>
        <w:t xml:space="preserve">Specifications: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44"/>
        <w:gridCol w:w="4394"/>
      </w:tblGrid>
      <w:tr>
        <w:trPr>
          <w:trHeight w:val="90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COSMO M7</w:t>
            </w:r>
          </w:p>
        </w:tc>
      </w:tr>
      <w:tr>
        <w:trPr>
          <w:trHeight w:val="476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Interface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DC Input, USB Interface, 3.5mm Headphone Hole</w:t>
            </w:r>
          </w:p>
        </w:tc>
      </w:tr>
      <w:tr>
        <w:trPr>
          <w:trHeight w:val="325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Power Consumption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&lt;19W</w:t>
            </w:r>
          </w:p>
        </w:tc>
      </w:tr>
      <w:tr>
        <w:trPr>
          <w:trHeight w:val="325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Screen Dimension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7 Inch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Net Weight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750g(without handle)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Physical Resolution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1920*1200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Contrast Ratio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1100:1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Brightness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1500 nits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Viewing Angle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178°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Backlight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Highlight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Voltage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7-36V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Audio Output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3.5mm Headphone Interface</w:t>
            </w:r>
          </w:p>
        </w:tc>
      </w:tr>
      <w:tr>
        <w:trPr>
          <w:trHeight w:val="412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Dimension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(L x W x H ):192*120*24mm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Excluding external antenna and battery buckle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Video Format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480p@60Hz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576p@50Hz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720p@60,50Hz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1080p@60,50Hz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1080p@23.98,24,25,29.97,30Hz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1080i@60,50Hz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1080Psf@23.98,24,25,29.97,30Hz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1080p60/59.94/50(Level A)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1080P60/59.94/50(Level B)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1080i60/59.94/50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1080p30/29.97/25/24/23.98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Frequency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5GHz</w:t>
            </w:r>
          </w:p>
        </w:tc>
      </w:tr>
      <w:tr>
        <w:trPr>
          <w:trHeight w:val="339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Modulation Mode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OFDM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Receiving Sensitivity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-75dBm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Bandwidth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等线" w:hAnsi="等线" w:cs="等线" w:eastAsia="等线"/>
                <w:color w:val="000000"/>
                <w:spacing w:val="0"/>
                <w:position w:val="0"/>
                <w:sz w:val="21"/>
                <w:shd w:fill="auto" w:val="clear"/>
              </w:rPr>
              <w:t xml:space="preserve">40MHz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8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